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E7A" w14:textId="77777777" w:rsidR="00A97A5D" w:rsidRPr="00A97A5D" w:rsidRDefault="00A97A5D" w:rsidP="00EC3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97A5D">
        <w:object w:dxaOrig="9198" w:dyaOrig="1741" w14:anchorId="1ECC94AD">
          <v:rect id="rectole0000000000" o:spid="_x0000_i1025" style="width:453.6pt;height:85.8pt" o:ole="" o:preferrelative="t" stroked="f">
            <v:imagedata r:id="rId5" o:title=""/>
          </v:rect>
          <o:OLEObject Type="Embed" ProgID="StaticMetafile" ShapeID="rectole0000000000" DrawAspect="Content" ObjectID="_1814790754" r:id="rId6"/>
        </w:object>
      </w:r>
      <w:r w:rsidRPr="00A97A5D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14:paraId="5BB0C8B0" w14:textId="77777777" w:rsidR="00A97A5D" w:rsidRPr="00A97A5D" w:rsidRDefault="00A97A5D" w:rsidP="00EC3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80FF4E3" w14:textId="77777777" w:rsidR="00A97A5D" w:rsidRPr="00A97A5D" w:rsidRDefault="00A97A5D" w:rsidP="00EC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SZÜLŐI TÁJÉKOZTATÓ</w:t>
      </w:r>
    </w:p>
    <w:p w14:paraId="07325FFE" w14:textId="77777777" w:rsidR="00A97A5D" w:rsidRPr="00A97A5D" w:rsidRDefault="00A97A5D" w:rsidP="00EC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ÁLTALÁNOS SZERZŐDÉSI FELTÉTELEK</w:t>
      </w:r>
    </w:p>
    <w:p w14:paraId="3299373D" w14:textId="3C4817F8" w:rsidR="00A97A5D" w:rsidRPr="00A97A5D" w:rsidRDefault="00A97A5D" w:rsidP="00EC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202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5 </w:t>
      </w: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/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202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6</w:t>
      </w:r>
    </w:p>
    <w:p w14:paraId="3AE90031" w14:textId="77777777" w:rsidR="00A97A5D" w:rsidRPr="00A97A5D" w:rsidRDefault="00A97A5D" w:rsidP="00EC3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17B93A42" w14:textId="77777777" w:rsidR="00A97A5D" w:rsidRPr="00A97A5D" w:rsidRDefault="00A97A5D" w:rsidP="00EC3C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>Tanulóházunk a gyermekek felzárkóztatását, tehetséggondozását, fejlesztését, egyéni- és csoportos formában szervezi meg. Ezek időtartama változó, díjazásuk eltérő. Vannak foglalkozások, melyeken több szakember is jelen van egy időben. Pedagógusaink, foglalkozásvezetőink minden esetben konzultálnak egymással, ha azt a gyermek érdeke megkívánja, és szorosan együttműködnek a kitűzött cél érdekében. Észrevételeinkről, tapasztalatainkról természetesen a szülőket is tájékoztatjuk. Amennyiben igénylik - megbeszélést követően - teszünk javaslatot, segítünk megoldást találni.</w:t>
      </w:r>
    </w:p>
    <w:p w14:paraId="37FCC361" w14:textId="77777777" w:rsidR="00A97A5D" w:rsidRPr="00A97A5D" w:rsidRDefault="00A97A5D" w:rsidP="00EC3C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>Megköszönjük, ha a szülők is bizalommal fordulnak hozzánk, hiszen mindannyiunk célja a gyermek fejlődése, jóléte.</w:t>
      </w:r>
    </w:p>
    <w:p w14:paraId="76E02C10" w14:textId="77777777" w:rsidR="00A97A5D" w:rsidRPr="00A97A5D" w:rsidRDefault="00A97A5D" w:rsidP="00EC3C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11075B20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623F9119" w14:textId="77777777" w:rsidR="00A97A5D" w:rsidRPr="00A97A5D" w:rsidRDefault="00A97A5D" w:rsidP="00EC3C5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Logopédia</w:t>
      </w:r>
    </w:p>
    <w:p w14:paraId="3BAE47F2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>Időtartama 30 perc</w:t>
      </w:r>
    </w:p>
    <w:p w14:paraId="280ADCEB" w14:textId="5CC0BE0F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>egyéni foglalkozás 7.</w:t>
      </w:r>
      <w:r w:rsidR="0031253D">
        <w:rPr>
          <w:rFonts w:ascii="Times New Roman" w:eastAsia="Times New Roman" w:hAnsi="Times New Roman" w:cs="Times New Roman"/>
          <w:color w:val="000000"/>
        </w:rPr>
        <w:t>2</w:t>
      </w:r>
      <w:r w:rsidRPr="00A97A5D">
        <w:rPr>
          <w:rFonts w:ascii="Times New Roman" w:eastAsia="Times New Roman" w:hAnsi="Times New Roman" w:cs="Times New Roman"/>
          <w:color w:val="000000"/>
        </w:rPr>
        <w:t>00.- / alkalom, havidíjként egy összegben fizetve.</w:t>
      </w:r>
    </w:p>
    <w:p w14:paraId="7E340F54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E3D0EF7" w14:textId="77777777" w:rsidR="00A97A5D" w:rsidRPr="00A97A5D" w:rsidRDefault="00A97A5D" w:rsidP="00EC3C56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Fejlesztések:</w:t>
      </w:r>
    </w:p>
    <w:p w14:paraId="7773E089" w14:textId="3BA53EB7" w:rsidR="00A97A5D" w:rsidRPr="00A97A5D" w:rsidRDefault="00A97A5D" w:rsidP="00EC3C5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>egyéni foglalkozás  8.</w:t>
      </w:r>
      <w:r w:rsidR="0031253D">
        <w:rPr>
          <w:rFonts w:ascii="Times New Roman" w:eastAsia="Times New Roman" w:hAnsi="Times New Roman" w:cs="Times New Roman"/>
          <w:color w:val="000000"/>
        </w:rPr>
        <w:t>750</w:t>
      </w:r>
      <w:r w:rsidRPr="00A97A5D">
        <w:rPr>
          <w:rFonts w:ascii="Times New Roman" w:eastAsia="Times New Roman" w:hAnsi="Times New Roman" w:cs="Times New Roman"/>
          <w:color w:val="000000"/>
        </w:rPr>
        <w:t xml:space="preserve">.- / alkalom, havidíjként egy összegben fizetve. </w:t>
      </w:r>
    </w:p>
    <w:p w14:paraId="64C28447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155979F4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4A8372C" w14:textId="77777777" w:rsidR="00A97A5D" w:rsidRPr="00A97A5D" w:rsidRDefault="00A97A5D" w:rsidP="00EC3C56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Tantárgyi korrepetálás</w:t>
      </w:r>
    </w:p>
    <w:p w14:paraId="645948EE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>Időtartama 60 perc</w:t>
      </w:r>
    </w:p>
    <w:p w14:paraId="504FCA45" w14:textId="0A516411" w:rsidR="00A97A5D" w:rsidRPr="00A97A5D" w:rsidRDefault="00A97A5D" w:rsidP="00EC3C56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egyéni óra: </w:t>
      </w:r>
      <w:r w:rsidR="00EF206F">
        <w:rPr>
          <w:rFonts w:ascii="Times New Roman" w:eastAsia="Times New Roman" w:hAnsi="Times New Roman" w:cs="Times New Roman"/>
          <w:color w:val="000000"/>
        </w:rPr>
        <w:tab/>
      </w:r>
      <w:r w:rsidR="00EF206F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>7.</w:t>
      </w:r>
      <w:r w:rsidR="0031253D">
        <w:rPr>
          <w:rFonts w:ascii="Times New Roman" w:eastAsia="Times New Roman" w:hAnsi="Times New Roman" w:cs="Times New Roman"/>
          <w:color w:val="000000"/>
        </w:rPr>
        <w:t>7</w:t>
      </w:r>
      <w:r w:rsidRPr="00A97A5D">
        <w:rPr>
          <w:rFonts w:ascii="Times New Roman" w:eastAsia="Times New Roman" w:hAnsi="Times New Roman" w:cs="Times New Roman"/>
          <w:color w:val="000000"/>
        </w:rPr>
        <w:t>00.- / alkalom, havidíjként egy összegben fizetve.</w:t>
      </w:r>
    </w:p>
    <w:p w14:paraId="6D0C1235" w14:textId="3A3B9AE5" w:rsidR="00A97A5D" w:rsidRPr="00A97A5D" w:rsidRDefault="00A97A5D" w:rsidP="00EC3C56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páros óra: </w:t>
      </w:r>
      <w:r w:rsidR="00EF206F">
        <w:rPr>
          <w:rFonts w:ascii="Times New Roman" w:eastAsia="Times New Roman" w:hAnsi="Times New Roman" w:cs="Times New Roman"/>
          <w:color w:val="000000"/>
        </w:rPr>
        <w:tab/>
      </w:r>
      <w:r w:rsidR="00EF206F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>5.</w:t>
      </w:r>
      <w:r w:rsidR="0031253D">
        <w:rPr>
          <w:rFonts w:ascii="Times New Roman" w:eastAsia="Times New Roman" w:hAnsi="Times New Roman" w:cs="Times New Roman"/>
          <w:color w:val="000000"/>
        </w:rPr>
        <w:t>650</w:t>
      </w:r>
      <w:r w:rsidRPr="00A97A5D">
        <w:rPr>
          <w:rFonts w:ascii="Times New Roman" w:eastAsia="Times New Roman" w:hAnsi="Times New Roman" w:cs="Times New Roman"/>
          <w:color w:val="000000"/>
        </w:rPr>
        <w:t>.- / alkalom, havidíjként egy összegben fizetve.</w:t>
      </w:r>
    </w:p>
    <w:p w14:paraId="38E9C4DA" w14:textId="125790CC" w:rsidR="00A97A5D" w:rsidRPr="00A97A5D" w:rsidRDefault="00A97A5D" w:rsidP="00EC3C56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csoportos óra 3-5 fő: </w:t>
      </w:r>
      <w:r w:rsidR="00EF206F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>5.</w:t>
      </w:r>
      <w:r w:rsidR="0031253D">
        <w:rPr>
          <w:rFonts w:ascii="Times New Roman" w:eastAsia="Times New Roman" w:hAnsi="Times New Roman" w:cs="Times New Roman"/>
          <w:color w:val="000000"/>
        </w:rPr>
        <w:t>15</w:t>
      </w:r>
      <w:r w:rsidRPr="00A97A5D">
        <w:rPr>
          <w:rFonts w:ascii="Times New Roman" w:eastAsia="Times New Roman" w:hAnsi="Times New Roman" w:cs="Times New Roman"/>
          <w:color w:val="000000"/>
        </w:rPr>
        <w:t>0.- / alkalom, havidíjként egy összegben fizetve.</w:t>
      </w:r>
    </w:p>
    <w:p w14:paraId="3F044F63" w14:textId="0A00C98E" w:rsidR="00A97A5D" w:rsidRPr="00A97A5D" w:rsidRDefault="00A97A5D" w:rsidP="00EC3C56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SOS óra </w:t>
      </w:r>
      <w:r w:rsidR="00EF206F">
        <w:rPr>
          <w:rFonts w:ascii="Times New Roman" w:eastAsia="Times New Roman" w:hAnsi="Times New Roman" w:cs="Times New Roman"/>
          <w:color w:val="000000"/>
        </w:rPr>
        <w:tab/>
      </w:r>
      <w:r w:rsidR="00EF206F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>10.000.- / alkalom</w:t>
      </w:r>
    </w:p>
    <w:p w14:paraId="23666C19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B4DBA79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FF7810E" w14:textId="77777777" w:rsidR="00A97A5D" w:rsidRPr="00A97A5D" w:rsidRDefault="00A97A5D" w:rsidP="00EC3C56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Homloklebeny tréning</w:t>
      </w:r>
    </w:p>
    <w:p w14:paraId="351EF2C5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>Csoportos foglalkozás egy éven át heti 1x 55 perc</w:t>
      </w:r>
    </w:p>
    <w:p w14:paraId="7F542CA1" w14:textId="627429CD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Pr="00A97A5D">
        <w:rPr>
          <w:rFonts w:ascii="Times New Roman" w:eastAsia="Times New Roman" w:hAnsi="Times New Roman" w:cs="Times New Roman"/>
          <w:color w:val="000000"/>
        </w:rPr>
        <w:t>.</w:t>
      </w:r>
      <w:r w:rsidR="0031253D">
        <w:rPr>
          <w:rFonts w:ascii="Times New Roman" w:eastAsia="Times New Roman" w:hAnsi="Times New Roman" w:cs="Times New Roman"/>
          <w:color w:val="000000"/>
        </w:rPr>
        <w:t>4</w:t>
      </w:r>
      <w:r w:rsidRPr="00A97A5D">
        <w:rPr>
          <w:rFonts w:ascii="Times New Roman" w:eastAsia="Times New Roman" w:hAnsi="Times New Roman" w:cs="Times New Roman"/>
          <w:color w:val="000000"/>
        </w:rPr>
        <w:t>00.- / alkalom havidíjként egy összegben fizetve.</w:t>
      </w:r>
    </w:p>
    <w:p w14:paraId="6C2D21AA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4FDE5291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1F127598" w14:textId="77777777" w:rsidR="00A97A5D" w:rsidRPr="00A97A5D" w:rsidRDefault="00A97A5D" w:rsidP="00EC3C56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Okosakk</w:t>
      </w:r>
      <w:proofErr w:type="spellEnd"/>
    </w:p>
    <w:p w14:paraId="223617CB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>Csoportos foglalkozás heti 1x 60 perc</w:t>
      </w:r>
    </w:p>
    <w:p w14:paraId="59FCB2A1" w14:textId="47696470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csoportos óra 3-5 fő: </w:t>
      </w:r>
      <w:r w:rsidR="00EF206F">
        <w:rPr>
          <w:rFonts w:ascii="Times New Roman" w:eastAsia="Times New Roman" w:hAnsi="Times New Roman" w:cs="Times New Roman"/>
          <w:color w:val="000000"/>
        </w:rPr>
        <w:t>5</w:t>
      </w:r>
      <w:r w:rsidRPr="00A97A5D">
        <w:rPr>
          <w:rFonts w:ascii="Times New Roman" w:eastAsia="Times New Roman" w:hAnsi="Times New Roman" w:cs="Times New Roman"/>
          <w:color w:val="000000"/>
        </w:rPr>
        <w:t>.</w:t>
      </w:r>
      <w:r w:rsidR="0031253D">
        <w:rPr>
          <w:rFonts w:ascii="Times New Roman" w:eastAsia="Times New Roman" w:hAnsi="Times New Roman" w:cs="Times New Roman"/>
          <w:color w:val="000000"/>
        </w:rPr>
        <w:t>15</w:t>
      </w:r>
      <w:r w:rsidRPr="00A97A5D">
        <w:rPr>
          <w:rFonts w:ascii="Times New Roman" w:eastAsia="Times New Roman" w:hAnsi="Times New Roman" w:cs="Times New Roman"/>
          <w:color w:val="000000"/>
        </w:rPr>
        <w:t>0.- / alkalom, havidíjként egy összegben fizetve.</w:t>
      </w:r>
    </w:p>
    <w:p w14:paraId="4E5DB21D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7B86E463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0F4B2B7" w14:textId="77777777" w:rsid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10CC32C" w14:textId="77777777" w:rsidR="00EF206F" w:rsidRDefault="00EF206F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7EEB52F" w14:textId="77777777" w:rsidR="00EF206F" w:rsidRDefault="00EF206F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62F35A59" w14:textId="77777777" w:rsidR="00EF206F" w:rsidRPr="00A97A5D" w:rsidRDefault="00EF206F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4678B6A0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002EF0C" w14:textId="77777777" w:rsidR="00A97A5D" w:rsidRPr="00A97A5D" w:rsidRDefault="00A97A5D" w:rsidP="00EC3C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B9952E9" w14:textId="77777777" w:rsidR="00A97A5D" w:rsidRPr="00EF206F" w:rsidRDefault="00A97A5D" w:rsidP="00EC3C56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Vizsgálatok, vélemények</w:t>
      </w:r>
    </w:p>
    <w:p w14:paraId="52034AF2" w14:textId="77777777" w:rsidR="00EF206F" w:rsidRPr="00EF206F" w:rsidRDefault="00EF206F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01490CF3" w14:textId="5A1F4CB6" w:rsidR="00EF206F" w:rsidRPr="00EF206F" w:rsidRDefault="00EF206F" w:rsidP="00EC3C56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F206F">
        <w:rPr>
          <w:rFonts w:ascii="Times New Roman" w:eastAsia="Times New Roman" w:hAnsi="Times New Roman" w:cs="Times New Roman"/>
          <w:b/>
          <w:bCs/>
          <w:color w:val="000000"/>
        </w:rPr>
        <w:t xml:space="preserve">Iskolaérettségi mérés </w:t>
      </w:r>
      <w:r w:rsidRPr="00EF206F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F206F">
        <w:rPr>
          <w:rFonts w:ascii="Times New Roman" w:eastAsia="Times New Roman" w:hAnsi="Times New Roman" w:cs="Times New Roman"/>
          <w:color w:val="000000"/>
        </w:rPr>
        <w:t>kb. 60 perc + 30 perc szülői konzultáció 20.</w:t>
      </w:r>
      <w:r w:rsidR="0031253D">
        <w:rPr>
          <w:rFonts w:ascii="Times New Roman" w:eastAsia="Times New Roman" w:hAnsi="Times New Roman" w:cs="Times New Roman"/>
          <w:color w:val="000000"/>
        </w:rPr>
        <w:t>5</w:t>
      </w:r>
      <w:r w:rsidRPr="00EF206F">
        <w:rPr>
          <w:rFonts w:ascii="Times New Roman" w:eastAsia="Times New Roman" w:hAnsi="Times New Roman" w:cs="Times New Roman"/>
          <w:color w:val="000000"/>
        </w:rPr>
        <w:t xml:space="preserve">00.- Ft              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A848241" w14:textId="7F6F3346" w:rsidR="00EF206F" w:rsidRPr="00EF206F" w:rsidRDefault="00EF206F" w:rsidP="00EC3C56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F206F">
        <w:rPr>
          <w:rFonts w:ascii="Times New Roman" w:eastAsia="Times New Roman" w:hAnsi="Times New Roman" w:cs="Times New Roman"/>
          <w:b/>
          <w:bCs/>
          <w:color w:val="000000"/>
        </w:rPr>
        <w:t xml:space="preserve">Mozgásterápia felmérések </w:t>
      </w:r>
      <w:r w:rsidRPr="00EF206F">
        <w:rPr>
          <w:rFonts w:ascii="Times New Roman" w:eastAsia="Times New Roman" w:hAnsi="Times New Roman" w:cs="Times New Roman"/>
          <w:color w:val="000000"/>
        </w:rPr>
        <w:t>kb. 60 perc + 30 perc szülői konzultáció 20.</w:t>
      </w:r>
      <w:r w:rsidR="0031253D">
        <w:rPr>
          <w:rFonts w:ascii="Times New Roman" w:eastAsia="Times New Roman" w:hAnsi="Times New Roman" w:cs="Times New Roman"/>
          <w:color w:val="000000"/>
        </w:rPr>
        <w:t>5</w:t>
      </w:r>
      <w:r w:rsidRPr="00EF206F">
        <w:rPr>
          <w:rFonts w:ascii="Times New Roman" w:eastAsia="Times New Roman" w:hAnsi="Times New Roman" w:cs="Times New Roman"/>
          <w:color w:val="000000"/>
        </w:rPr>
        <w:t>00.- Ft</w:t>
      </w:r>
    </w:p>
    <w:p w14:paraId="340E8D49" w14:textId="57101CD8" w:rsidR="00A97A5D" w:rsidRPr="00EF206F" w:rsidRDefault="00A97A5D" w:rsidP="00EC3C5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F206F">
        <w:rPr>
          <w:rFonts w:ascii="Times New Roman" w:eastAsia="Times New Roman" w:hAnsi="Times New Roman" w:cs="Times New Roman"/>
          <w:b/>
        </w:rPr>
        <w:t>Tanulási részképesség-vizsgálatok</w:t>
      </w:r>
    </w:p>
    <w:p w14:paraId="2D4EFECA" w14:textId="7CFC7B16" w:rsidR="00A97A5D" w:rsidRDefault="00A97A5D" w:rsidP="00EC3C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7A5D">
        <w:rPr>
          <w:rFonts w:ascii="Times New Roman" w:eastAsia="Times New Roman" w:hAnsi="Times New Roman" w:cs="Times New Roman"/>
        </w:rPr>
        <w:t xml:space="preserve">     </w:t>
      </w:r>
      <w:r w:rsidR="00EF206F">
        <w:rPr>
          <w:rFonts w:ascii="Times New Roman" w:eastAsia="Times New Roman" w:hAnsi="Times New Roman" w:cs="Times New Roman"/>
        </w:rPr>
        <w:t xml:space="preserve">  </w:t>
      </w:r>
      <w:r w:rsidR="00EF206F">
        <w:rPr>
          <w:rFonts w:ascii="Times New Roman" w:eastAsia="Times New Roman" w:hAnsi="Times New Roman" w:cs="Times New Roman"/>
        </w:rPr>
        <w:tab/>
      </w:r>
      <w:r w:rsidRPr="00A97A5D">
        <w:rPr>
          <w:rFonts w:ascii="Times New Roman" w:eastAsia="Times New Roman" w:hAnsi="Times New Roman" w:cs="Times New Roman"/>
        </w:rPr>
        <w:t xml:space="preserve"> (olvasási, anyanyelvi, írás-, matematikai képességek)</w:t>
      </w:r>
    </w:p>
    <w:p w14:paraId="29F197E0" w14:textId="77777777" w:rsidR="00EF206F" w:rsidRPr="00A97A5D" w:rsidRDefault="00EF206F" w:rsidP="00EC3C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9159FB" w14:textId="251FF65B" w:rsidR="00A97A5D" w:rsidRPr="00A97A5D" w:rsidRDefault="00A97A5D" w:rsidP="00EC3C56">
      <w:pPr>
        <w:numPr>
          <w:ilvl w:val="0"/>
          <w:numId w:val="8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2 órás (90 perc) vizsgálat részképesség-területtől függően + 30 perc szülői konzultáció:    </w:t>
      </w:r>
      <w:r w:rsidRPr="00A97A5D">
        <w:rPr>
          <w:rFonts w:ascii="Times New Roman" w:eastAsia="Times New Roman" w:hAnsi="Times New Roman" w:cs="Times New Roman"/>
        </w:rPr>
        <w:t>2</w:t>
      </w:r>
      <w:r w:rsidR="00EF206F">
        <w:rPr>
          <w:rFonts w:ascii="Times New Roman" w:eastAsia="Times New Roman" w:hAnsi="Times New Roman" w:cs="Times New Roman"/>
        </w:rPr>
        <w:t>5</w:t>
      </w:r>
      <w:r w:rsidRPr="00A97A5D">
        <w:rPr>
          <w:rFonts w:ascii="Times New Roman" w:eastAsia="Times New Roman" w:hAnsi="Times New Roman" w:cs="Times New Roman"/>
          <w:color w:val="000000"/>
        </w:rPr>
        <w:t>.</w:t>
      </w:r>
      <w:r w:rsidR="0031253D">
        <w:rPr>
          <w:rFonts w:ascii="Times New Roman" w:eastAsia="Times New Roman" w:hAnsi="Times New Roman" w:cs="Times New Roman"/>
          <w:color w:val="000000"/>
        </w:rPr>
        <w:t>5</w:t>
      </w:r>
      <w:r w:rsidRPr="00A97A5D">
        <w:rPr>
          <w:rFonts w:ascii="Times New Roman" w:eastAsia="Times New Roman" w:hAnsi="Times New Roman" w:cs="Times New Roman"/>
          <w:color w:val="000000"/>
        </w:rPr>
        <w:t>00.- Ft</w:t>
      </w:r>
    </w:p>
    <w:p w14:paraId="4535E0C7" w14:textId="29292F88" w:rsidR="00A97A5D" w:rsidRPr="00A97A5D" w:rsidRDefault="00A97A5D" w:rsidP="00EC3C56">
      <w:pPr>
        <w:numPr>
          <w:ilvl w:val="0"/>
          <w:numId w:val="8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3 órás (135 perc) vizsgálat részképesség-területtől függően + 45 perc szülői konzultáció   </w:t>
      </w:r>
      <w:r w:rsidRPr="00A97A5D">
        <w:rPr>
          <w:rFonts w:ascii="Times New Roman" w:eastAsia="Times New Roman" w:hAnsi="Times New Roman" w:cs="Times New Roman"/>
        </w:rPr>
        <w:t>2</w:t>
      </w:r>
      <w:r w:rsidR="00EF206F">
        <w:rPr>
          <w:rFonts w:ascii="Times New Roman" w:eastAsia="Times New Roman" w:hAnsi="Times New Roman" w:cs="Times New Roman"/>
        </w:rPr>
        <w:t>7</w:t>
      </w:r>
      <w:r w:rsidRPr="00A97A5D">
        <w:rPr>
          <w:rFonts w:ascii="Times New Roman" w:eastAsia="Times New Roman" w:hAnsi="Times New Roman" w:cs="Times New Roman"/>
          <w:color w:val="000000"/>
        </w:rPr>
        <w:t>.</w:t>
      </w:r>
      <w:r w:rsidR="0031253D">
        <w:rPr>
          <w:rFonts w:ascii="Times New Roman" w:eastAsia="Times New Roman" w:hAnsi="Times New Roman" w:cs="Times New Roman"/>
          <w:color w:val="000000"/>
        </w:rPr>
        <w:t>5</w:t>
      </w:r>
      <w:r w:rsidRPr="00A97A5D">
        <w:rPr>
          <w:rFonts w:ascii="Times New Roman" w:eastAsia="Times New Roman" w:hAnsi="Times New Roman" w:cs="Times New Roman"/>
          <w:color w:val="000000"/>
        </w:rPr>
        <w:t>00.- Ft</w:t>
      </w:r>
    </w:p>
    <w:p w14:paraId="3EFD1007" w14:textId="2E1C0242" w:rsidR="00A97A5D" w:rsidRPr="00A97A5D" w:rsidRDefault="00A97A5D" w:rsidP="00EC3C56">
      <w:pPr>
        <w:numPr>
          <w:ilvl w:val="0"/>
          <w:numId w:val="8"/>
        </w:numPr>
        <w:spacing w:line="360" w:lineRule="auto"/>
        <w:ind w:left="1069" w:hanging="360"/>
        <w:jc w:val="both"/>
        <w:rPr>
          <w:rFonts w:ascii="Times New Roman" w:eastAsia="Times New Roman" w:hAnsi="Times New Roman" w:cs="Times New Roman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szülői konzultáció (60 perc) </w:t>
      </w:r>
      <w:r w:rsidRPr="00A97A5D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ab/>
      </w:r>
      <w:r w:rsidRPr="00A97A5D">
        <w:rPr>
          <w:rFonts w:ascii="Times New Roman" w:eastAsia="Times New Roman" w:hAnsi="Times New Roman" w:cs="Times New Roman"/>
          <w:color w:val="000000"/>
        </w:rPr>
        <w:tab/>
        <w:t xml:space="preserve">          6.</w:t>
      </w:r>
      <w:r w:rsidR="0031253D">
        <w:rPr>
          <w:rFonts w:ascii="Times New Roman" w:eastAsia="Times New Roman" w:hAnsi="Times New Roman" w:cs="Times New Roman"/>
          <w:color w:val="000000"/>
        </w:rPr>
        <w:t>5</w:t>
      </w:r>
      <w:r w:rsidRPr="00A97A5D">
        <w:rPr>
          <w:rFonts w:ascii="Times New Roman" w:eastAsia="Times New Roman" w:hAnsi="Times New Roman" w:cs="Times New Roman"/>
          <w:color w:val="000000"/>
        </w:rPr>
        <w:t>00.- Ft</w:t>
      </w:r>
    </w:p>
    <w:p w14:paraId="061F52D0" w14:textId="32367BA0" w:rsidR="00A97A5D" w:rsidRPr="00EF206F" w:rsidRDefault="00A97A5D" w:rsidP="00EC3C56">
      <w:pPr>
        <w:spacing w:after="0" w:line="276" w:lineRule="auto"/>
        <w:ind w:left="361" w:firstLine="3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F206F">
        <w:rPr>
          <w:rFonts w:ascii="Times New Roman" w:eastAsia="Times New Roman" w:hAnsi="Times New Roman" w:cs="Times New Roman"/>
          <w:b/>
          <w:bCs/>
          <w:color w:val="000000"/>
        </w:rPr>
        <w:t>Írásos vélemény 6.</w:t>
      </w:r>
      <w:r w:rsidR="0031253D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EF206F">
        <w:rPr>
          <w:rFonts w:ascii="Times New Roman" w:eastAsia="Times New Roman" w:hAnsi="Times New Roman" w:cs="Times New Roman"/>
          <w:b/>
          <w:bCs/>
          <w:color w:val="000000"/>
        </w:rPr>
        <w:t>00.-  Ft</w:t>
      </w:r>
    </w:p>
    <w:p w14:paraId="7AB8A3A4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186ABF9E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245DFBF" w14:textId="77777777" w:rsidR="00A97A5D" w:rsidRPr="00A97A5D" w:rsidRDefault="00A97A5D" w:rsidP="00EC3C5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DA589F0" w14:textId="77777777" w:rsidR="00A97A5D" w:rsidRPr="00A97A5D" w:rsidRDefault="00A97A5D" w:rsidP="00EC3C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Hiányzás: </w:t>
      </w:r>
    </w:p>
    <w:p w14:paraId="32A99714" w14:textId="0D479B11" w:rsidR="00A97A5D" w:rsidRPr="00EF206F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EF206F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F9613E">
        <w:rPr>
          <w:rFonts w:ascii="Times New Roman" w:eastAsia="Times New Roman" w:hAnsi="Times New Roman" w:cs="Times New Roman"/>
          <w:b/>
          <w:bCs/>
          <w:color w:val="000000"/>
        </w:rPr>
        <w:t xml:space="preserve">A szülő vállalja, hogy a gyermek hiányzását 24 órát, de legkésőbb a foglalkozást megelőző nap este  18:00 óráig  </w:t>
      </w:r>
      <w:r w:rsidR="00EF206F" w:rsidRPr="00F9613E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Pr="00F9613E">
        <w:rPr>
          <w:rFonts w:ascii="Times New Roman" w:eastAsia="Times New Roman" w:hAnsi="Times New Roman" w:cs="Times New Roman"/>
          <w:b/>
          <w:bCs/>
          <w:color w:val="000000"/>
        </w:rPr>
        <w:t>-mailben jelzi</w:t>
      </w:r>
      <w:r w:rsidRPr="00EF206F">
        <w:rPr>
          <w:rFonts w:ascii="Times New Roman" w:eastAsia="Times New Roman" w:hAnsi="Times New Roman" w:cs="Times New Roman"/>
          <w:color w:val="000000"/>
        </w:rPr>
        <w:t xml:space="preserve">. </w:t>
      </w:r>
      <w:r w:rsidRPr="00F9613E">
        <w:rPr>
          <w:rFonts w:ascii="Times New Roman" w:eastAsia="Times New Roman" w:hAnsi="Times New Roman" w:cs="Times New Roman"/>
          <w:b/>
          <w:iCs/>
          <w:color w:val="000000"/>
        </w:rPr>
        <w:t>Lemondás hiánya esetén az óradíj 100%-a fizetendő.</w:t>
      </w:r>
      <w:r w:rsidRPr="00EF206F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14:paraId="6AD14DD6" w14:textId="47E2D45F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         A csoportos foglalkozásnál a hiányzott óra anyagát a következő alkalommal átadjuk a gyermeknek. </w:t>
      </w:r>
    </w:p>
    <w:p w14:paraId="7AA40493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          Csoportos-, ill. páros  foglalkozás esetén ebben az esetben az előzetesen megbeszélt óradíj 50 %-a csoporttagsági díjként kerül beszámításra. </w:t>
      </w:r>
    </w:p>
    <w:p w14:paraId="015062BC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          Egyéni óra esetén a befizetett díj </w:t>
      </w:r>
      <w:proofErr w:type="spellStart"/>
      <w:r w:rsidRPr="00A97A5D">
        <w:rPr>
          <w:rFonts w:ascii="Times New Roman" w:eastAsia="Times New Roman" w:hAnsi="Times New Roman" w:cs="Times New Roman"/>
          <w:color w:val="000000"/>
        </w:rPr>
        <w:t>jóváíródik</w:t>
      </w:r>
      <w:proofErr w:type="spellEnd"/>
      <w:r w:rsidRPr="00A97A5D">
        <w:rPr>
          <w:rFonts w:ascii="Times New Roman" w:eastAsia="Times New Roman" w:hAnsi="Times New Roman" w:cs="Times New Roman"/>
          <w:color w:val="000000"/>
        </w:rPr>
        <w:t xml:space="preserve"> a következő befizetés alkalmával.</w:t>
      </w:r>
    </w:p>
    <w:p w14:paraId="03E865FF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059D94C0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09602FB3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Befizetés</w:t>
      </w:r>
      <w:r w:rsidRPr="00A97A5D"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14:paraId="5806CFD6" w14:textId="6245845D" w:rsidR="00F9613E" w:rsidRPr="00F9613E" w:rsidRDefault="00F9613E" w:rsidP="00F9613E">
      <w:pPr>
        <w:spacing w:line="259" w:lineRule="auto"/>
        <w:jc w:val="both"/>
        <w:rPr>
          <w:rFonts w:ascii="Times New Roman" w:eastAsia="Calibri" w:hAnsi="Times New Roman" w:cs="Times New Roman"/>
          <w:color w:val="000000"/>
        </w:rPr>
      </w:pPr>
      <w:r w:rsidRPr="00F9613E">
        <w:rPr>
          <w:rFonts w:ascii="Times New Roman" w:eastAsia="Calibri" w:hAnsi="Times New Roman" w:cs="Times New Roman"/>
          <w:color w:val="000000"/>
        </w:rPr>
        <w:t xml:space="preserve">Hűségkártya tulajdonosoknak  kedvezményt biztosítunk, a kártyán megadott feltételek szerint. </w:t>
      </w:r>
      <w:r>
        <w:rPr>
          <w:rFonts w:ascii="Times New Roman" w:eastAsia="Calibri" w:hAnsi="Times New Roman" w:cs="Times New Roman"/>
          <w:color w:val="000000"/>
        </w:rPr>
        <w:t>A díj a</w:t>
      </w:r>
      <w:r w:rsidRPr="00F9613E">
        <w:rPr>
          <w:rFonts w:ascii="Times New Roman" w:eastAsia="Calibri" w:hAnsi="Times New Roman" w:cs="Times New Roman"/>
          <w:color w:val="000000"/>
        </w:rPr>
        <w:t xml:space="preserve"> helyszínen, a hónap első teljes hetén, havi díj formájában előre fizetendő. Az esetleges hiányzások jóváírása a lemondási feltételek betartása esetén a következő havi befizetésnél íródik jóvá.</w:t>
      </w:r>
    </w:p>
    <w:p w14:paraId="48546189" w14:textId="45AC9DE9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82E9A1C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97A5D">
        <w:rPr>
          <w:rFonts w:ascii="Times New Roman" w:eastAsia="Times New Roman" w:hAnsi="Times New Roman" w:cs="Times New Roman"/>
          <w:b/>
          <w:color w:val="000000"/>
          <w:u w:val="single"/>
        </w:rPr>
        <w:t>Felelősségvállalás:</w:t>
      </w:r>
    </w:p>
    <w:p w14:paraId="5EDB201A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A97A5D">
        <w:rPr>
          <w:rFonts w:ascii="Times New Roman" w:eastAsia="Times New Roman" w:hAnsi="Times New Roman" w:cs="Times New Roman"/>
          <w:color w:val="000000"/>
        </w:rPr>
        <w:tab/>
        <w:t>Amennyiben a gyermek magatartásával gondok vannak, ill. nem integrálható csoportban, azt jelezzük a szülő felé, próbálunk együttműködve megoldást találni, de ha ellehetetleníti a csoport működését, a gyermek a foglalkozásokat továbbiakban nem látogathatja, ill. egyeztetés után egyéni foglalkozás keretében jár tovább . Ez esetben a befizetett havidíjat, (fennmaradó részt) nem áll módunkban visszatéríteni.</w:t>
      </w:r>
    </w:p>
    <w:p w14:paraId="176B6FEC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ab/>
        <w:t xml:space="preserve">Kérjük, a gyermekek értékes játékokat a foglalkozásokra ne hozzanak magukkal! A gyermekek saját játékaiért felelősséget vállalni nem tudunk.  </w:t>
      </w:r>
    </w:p>
    <w:p w14:paraId="0FB1687C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              A gyermekek által a Bölcs Bagoly Tanulóház és Gyermekközpont tárgyi eszközeiben (kinti és benti) okozott kárt a szülő köteles megtéríteni.</w:t>
      </w:r>
    </w:p>
    <w:p w14:paraId="240215EB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F0FAD09" w14:textId="77777777" w:rsidR="00A97A5D" w:rsidRPr="00A97A5D" w:rsidRDefault="00A97A5D" w:rsidP="00EC3C56">
      <w:pPr>
        <w:tabs>
          <w:tab w:val="left" w:pos="220"/>
          <w:tab w:val="left" w:pos="720"/>
        </w:tabs>
        <w:spacing w:after="0" w:line="240" w:lineRule="auto"/>
        <w:ind w:left="135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A97A5D">
        <w:rPr>
          <w:rFonts w:ascii="Times New Roman" w:eastAsia="Times New Roman" w:hAnsi="Times New Roman" w:cs="Times New Roman"/>
          <w:color w:val="000000"/>
        </w:rPr>
        <w:t xml:space="preserve">             Tisztelettel kérjük a szülőket, ha bármilyen észrevételük, problémájuk, megoldandó kérdésük van, haladéktalanul vegyék fel velünk a kapcsolatot! Biztosak vagyunk benne, hogy a megfelelő kommunikációval minden helyzetre találunk megoldást. Segíteni csak akkor tudunk, ha tudjuk, hogy miben. A jó kapcsolat és bizalmi kör kialakítása kiemelkedően fontos számunkra!</w:t>
      </w:r>
    </w:p>
    <w:p w14:paraId="176E3C37" w14:textId="77777777" w:rsidR="00A97A5D" w:rsidRPr="00A97A5D" w:rsidRDefault="00A97A5D" w:rsidP="00EC3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7B08CCE3" w14:textId="77777777" w:rsidR="00A97A5D" w:rsidRPr="00A97A5D" w:rsidRDefault="00A97A5D" w:rsidP="00EC3C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A9288A" w14:textId="77777777" w:rsidR="00A97A5D" w:rsidRPr="00A97A5D" w:rsidRDefault="00A97A5D" w:rsidP="00EC3C56">
      <w:pPr>
        <w:jc w:val="both"/>
      </w:pPr>
    </w:p>
    <w:p w14:paraId="1554318F" w14:textId="77777777" w:rsidR="00A97A5D" w:rsidRPr="00A97A5D" w:rsidRDefault="00A97A5D" w:rsidP="00EC3C56">
      <w:pPr>
        <w:jc w:val="both"/>
      </w:pPr>
    </w:p>
    <w:sectPr w:rsidR="00A97A5D" w:rsidRPr="00A9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B70"/>
    <w:multiLevelType w:val="multilevel"/>
    <w:tmpl w:val="9954B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75A9E"/>
    <w:multiLevelType w:val="multilevel"/>
    <w:tmpl w:val="FD929042"/>
    <w:lvl w:ilvl="0">
      <w:start w:val="2025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50271"/>
    <w:multiLevelType w:val="multilevel"/>
    <w:tmpl w:val="8F949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50B45"/>
    <w:multiLevelType w:val="multilevel"/>
    <w:tmpl w:val="2522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202398"/>
    <w:multiLevelType w:val="hybridMultilevel"/>
    <w:tmpl w:val="800826D8"/>
    <w:lvl w:ilvl="0" w:tplc="442E03C0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3394D"/>
    <w:multiLevelType w:val="multilevel"/>
    <w:tmpl w:val="14AA0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2129AB"/>
    <w:multiLevelType w:val="hybridMultilevel"/>
    <w:tmpl w:val="232A7D86"/>
    <w:lvl w:ilvl="0" w:tplc="442E03C0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D0947"/>
    <w:multiLevelType w:val="multilevel"/>
    <w:tmpl w:val="471ED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4C3AE7"/>
    <w:multiLevelType w:val="multilevel"/>
    <w:tmpl w:val="C4766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905C19"/>
    <w:multiLevelType w:val="multilevel"/>
    <w:tmpl w:val="CA828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7363469">
    <w:abstractNumId w:val="2"/>
  </w:num>
  <w:num w:numId="2" w16cid:durableId="666977092">
    <w:abstractNumId w:val="5"/>
  </w:num>
  <w:num w:numId="3" w16cid:durableId="49814120">
    <w:abstractNumId w:val="9"/>
  </w:num>
  <w:num w:numId="4" w16cid:durableId="187180457">
    <w:abstractNumId w:val="3"/>
  </w:num>
  <w:num w:numId="5" w16cid:durableId="1441149651">
    <w:abstractNumId w:val="8"/>
  </w:num>
  <w:num w:numId="6" w16cid:durableId="989019903">
    <w:abstractNumId w:val="7"/>
  </w:num>
  <w:num w:numId="7" w16cid:durableId="1791237972">
    <w:abstractNumId w:val="1"/>
  </w:num>
  <w:num w:numId="8" w16cid:durableId="1030255442">
    <w:abstractNumId w:val="0"/>
  </w:num>
  <w:num w:numId="9" w16cid:durableId="682321316">
    <w:abstractNumId w:val="6"/>
  </w:num>
  <w:num w:numId="10" w16cid:durableId="2082485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5D"/>
    <w:rsid w:val="002345D3"/>
    <w:rsid w:val="0031253D"/>
    <w:rsid w:val="009A4D6B"/>
    <w:rsid w:val="00A97A5D"/>
    <w:rsid w:val="00E76108"/>
    <w:rsid w:val="00EC3C56"/>
    <w:rsid w:val="00EF206F"/>
    <w:rsid w:val="00F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DBF9"/>
  <w15:chartTrackingRefBased/>
  <w15:docId w15:val="{6DDBE601-0F6A-46B8-A743-4CA594DD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C56"/>
  </w:style>
  <w:style w:type="paragraph" w:styleId="Cmsor1">
    <w:name w:val="heading 1"/>
    <w:basedOn w:val="Norml"/>
    <w:next w:val="Norml"/>
    <w:link w:val="Cmsor1Char"/>
    <w:uiPriority w:val="9"/>
    <w:qFormat/>
    <w:rsid w:val="00EC3C5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3C5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3C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3C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3C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3C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3C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3C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3C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3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3C5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3C56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3C56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3C56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3C56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3C56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3C56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3C56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EC3C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3C56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3C5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C3C56"/>
    <w:rPr>
      <w:rFonts w:asciiTheme="majorHAnsi" w:eastAsiaTheme="majorEastAsia" w:hAnsiTheme="majorHAnsi" w:cstheme="majorBidi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EC3C5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3C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97A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3C56"/>
    <w:rPr>
      <w:b/>
      <w:bCs/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3C56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3C56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rshivatkozs">
    <w:name w:val="Intense Reference"/>
    <w:basedOn w:val="Bekezdsalapbettpusa"/>
    <w:uiPriority w:val="32"/>
    <w:qFormat/>
    <w:rsid w:val="00EC3C56"/>
    <w:rPr>
      <w:b/>
      <w:bCs/>
      <w:smallCaps/>
      <w:spacing w:val="5"/>
      <w:u w:val="single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C3C5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Kiemels2">
    <w:name w:val="Strong"/>
    <w:basedOn w:val="Bekezdsalapbettpusa"/>
    <w:uiPriority w:val="22"/>
    <w:qFormat/>
    <w:rsid w:val="00EC3C56"/>
    <w:rPr>
      <w:b/>
      <w:bCs/>
    </w:rPr>
  </w:style>
  <w:style w:type="character" w:styleId="Kiemels">
    <w:name w:val="Emphasis"/>
    <w:basedOn w:val="Bekezdsalapbettpusa"/>
    <w:uiPriority w:val="20"/>
    <w:qFormat/>
    <w:rsid w:val="00EC3C56"/>
    <w:rPr>
      <w:i/>
      <w:iCs/>
    </w:rPr>
  </w:style>
  <w:style w:type="paragraph" w:styleId="Nincstrkz">
    <w:name w:val="No Spacing"/>
    <w:uiPriority w:val="1"/>
    <w:qFormat/>
    <w:rsid w:val="00EC3C56"/>
    <w:pPr>
      <w:spacing w:after="0" w:line="240" w:lineRule="auto"/>
    </w:pPr>
  </w:style>
  <w:style w:type="character" w:styleId="Finomkiemels">
    <w:name w:val="Subtle Emphasis"/>
    <w:basedOn w:val="Bekezdsalapbettpusa"/>
    <w:uiPriority w:val="19"/>
    <w:qFormat/>
    <w:rsid w:val="00EC3C56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qFormat/>
    <w:rsid w:val="00EC3C56"/>
    <w:rPr>
      <w:smallCaps/>
      <w:color w:val="404040" w:themeColor="text1" w:themeTint="BF"/>
      <w:u w:val="single" w:color="7F7F7F" w:themeColor="text1" w:themeTint="80"/>
    </w:rPr>
  </w:style>
  <w:style w:type="character" w:styleId="Knyvcme">
    <w:name w:val="Book Title"/>
    <w:basedOn w:val="Bekezdsalapbettpusa"/>
    <w:uiPriority w:val="33"/>
    <w:qFormat/>
    <w:rsid w:val="00EC3C56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C3C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517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Sandor</dc:creator>
  <cp:keywords/>
  <dc:description/>
  <cp:lastModifiedBy>Eva Sandor</cp:lastModifiedBy>
  <cp:revision>3</cp:revision>
  <dcterms:created xsi:type="dcterms:W3CDTF">2025-07-23T11:29:00Z</dcterms:created>
  <dcterms:modified xsi:type="dcterms:W3CDTF">2025-07-23T13:46:00Z</dcterms:modified>
</cp:coreProperties>
</file>